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01A" w:rsidRDefault="0085301A" w:rsidP="0085301A">
      <w:pPr>
        <w:rPr>
          <w:lang w:val="en-US"/>
        </w:rPr>
      </w:pPr>
    </w:p>
    <w:p w:rsidR="0085301A" w:rsidRDefault="0085301A" w:rsidP="0085301A">
      <w:pPr>
        <w:jc w:val="center"/>
        <w:rPr>
          <w:b/>
        </w:rPr>
      </w:pPr>
      <w:r w:rsidRPr="0085301A">
        <w:rPr>
          <w:b/>
        </w:rPr>
        <w:t>SEMINARIUM</w:t>
      </w:r>
    </w:p>
    <w:p w:rsidR="0085301A" w:rsidRDefault="0085301A" w:rsidP="0085301A">
      <w:pPr>
        <w:jc w:val="center"/>
        <w:rPr>
          <w:b/>
        </w:rPr>
      </w:pPr>
    </w:p>
    <w:p w:rsidR="0085301A" w:rsidRDefault="0085301A" w:rsidP="0085301A">
      <w:pPr>
        <w:jc w:val="center"/>
        <w:rPr>
          <w:b/>
        </w:rPr>
      </w:pPr>
      <w:r>
        <w:rPr>
          <w:b/>
        </w:rPr>
        <w:t xml:space="preserve"> BUDYNEK WYDZIAŁU BIOTECHNOLOGII UNIWERSYTETU WROCŁAWSKIEGO KEBB</w:t>
      </w:r>
    </w:p>
    <w:p w:rsidR="0085301A" w:rsidRDefault="0085301A" w:rsidP="0085301A">
      <w:pPr>
        <w:jc w:val="center"/>
        <w:rPr>
          <w:b/>
        </w:rPr>
      </w:pPr>
    </w:p>
    <w:p w:rsidR="0085301A" w:rsidRDefault="0085301A" w:rsidP="0085301A">
      <w:pPr>
        <w:jc w:val="center"/>
        <w:rPr>
          <w:b/>
        </w:rPr>
      </w:pPr>
      <w:r w:rsidRPr="0085301A">
        <w:rPr>
          <w:b/>
        </w:rPr>
        <w:t>19 KWIETNIA</w:t>
      </w:r>
      <w:r>
        <w:rPr>
          <w:b/>
        </w:rPr>
        <w:t xml:space="preserve"> 2017 r.</w:t>
      </w:r>
      <w:r w:rsidRPr="0085301A">
        <w:rPr>
          <w:b/>
        </w:rPr>
        <w:t xml:space="preserve">, GODZ. </w:t>
      </w:r>
      <w:r>
        <w:rPr>
          <w:b/>
        </w:rPr>
        <w:t>11.30, SALA 1.05</w:t>
      </w:r>
    </w:p>
    <w:p w:rsidR="0085301A" w:rsidRPr="0085301A" w:rsidRDefault="0085301A" w:rsidP="0085301A">
      <w:pPr>
        <w:jc w:val="center"/>
        <w:rPr>
          <w:b/>
        </w:rPr>
      </w:pPr>
    </w:p>
    <w:p w:rsidR="0085301A" w:rsidRPr="0085301A" w:rsidRDefault="0085301A" w:rsidP="0085301A">
      <w:pPr>
        <w:jc w:val="center"/>
        <w:rPr>
          <w:b/>
        </w:rPr>
      </w:pPr>
      <w:r w:rsidRPr="0085301A">
        <w:rPr>
          <w:b/>
        </w:rPr>
        <w:t>Serdecznie zapraszamy na seminarium</w:t>
      </w:r>
    </w:p>
    <w:p w:rsidR="0085301A" w:rsidRDefault="0085301A" w:rsidP="0085301A">
      <w:pPr>
        <w:jc w:val="center"/>
        <w:rPr>
          <w:b/>
          <w:lang w:val="en-US"/>
        </w:rPr>
      </w:pPr>
      <w:r w:rsidRPr="0085301A">
        <w:rPr>
          <w:b/>
          <w:lang w:val="en-US"/>
        </w:rPr>
        <w:t>“A NEW LIFE OF THE MICHAELIS-MENTEN EQUATION”,</w:t>
      </w:r>
    </w:p>
    <w:p w:rsidR="0085301A" w:rsidRPr="0085301A" w:rsidRDefault="0085301A" w:rsidP="0085301A">
      <w:pPr>
        <w:jc w:val="center"/>
        <w:rPr>
          <w:b/>
          <w:lang w:val="en-US"/>
        </w:rPr>
      </w:pPr>
      <w:proofErr w:type="spellStart"/>
      <w:proofErr w:type="gramStart"/>
      <w:r w:rsidRPr="0085301A">
        <w:rPr>
          <w:b/>
          <w:lang w:val="en-US"/>
        </w:rPr>
        <w:t>które</w:t>
      </w:r>
      <w:proofErr w:type="spellEnd"/>
      <w:proofErr w:type="gramEnd"/>
      <w:r w:rsidRPr="0085301A">
        <w:rPr>
          <w:b/>
          <w:lang w:val="en-US"/>
        </w:rPr>
        <w:t xml:space="preserve"> </w:t>
      </w:r>
      <w:proofErr w:type="spellStart"/>
      <w:r w:rsidRPr="0085301A">
        <w:rPr>
          <w:b/>
          <w:lang w:val="en-US"/>
        </w:rPr>
        <w:t>przedstawi</w:t>
      </w:r>
      <w:proofErr w:type="spellEnd"/>
      <w:r w:rsidRPr="0085301A">
        <w:rPr>
          <w:b/>
          <w:lang w:val="en-US"/>
        </w:rPr>
        <w:t xml:space="preserve"> </w:t>
      </w:r>
      <w:bookmarkStart w:id="0" w:name="_GoBack"/>
      <w:r w:rsidRPr="0085301A">
        <w:rPr>
          <w:b/>
          <w:lang w:val="en-US"/>
        </w:rPr>
        <w:t xml:space="preserve">prof. Francesco </w:t>
      </w:r>
      <w:proofErr w:type="spellStart"/>
      <w:r w:rsidRPr="0085301A">
        <w:rPr>
          <w:b/>
          <w:lang w:val="en-US"/>
        </w:rPr>
        <w:t>Malatesta</w:t>
      </w:r>
      <w:proofErr w:type="spellEnd"/>
      <w:r w:rsidRPr="0085301A">
        <w:rPr>
          <w:b/>
          <w:lang w:val="en-US"/>
        </w:rPr>
        <w:t xml:space="preserve"> z Department of Biochemical Sciences</w:t>
      </w:r>
      <w:r>
        <w:rPr>
          <w:b/>
          <w:lang w:val="en-US"/>
        </w:rPr>
        <w:t>,</w:t>
      </w:r>
      <w:r w:rsidRPr="0085301A">
        <w:rPr>
          <w:b/>
          <w:lang w:val="en-US"/>
        </w:rPr>
        <w:t xml:space="preserve"> Sapienza University of Rome, Rome, Italy</w:t>
      </w:r>
      <w:bookmarkEnd w:id="0"/>
    </w:p>
    <w:p w:rsidR="0085301A" w:rsidRPr="0085301A" w:rsidRDefault="0085301A" w:rsidP="0085301A">
      <w:pPr>
        <w:rPr>
          <w:b/>
          <w:lang w:val="en-US"/>
        </w:rPr>
      </w:pPr>
    </w:p>
    <w:p w:rsidR="0085301A" w:rsidRDefault="0085301A" w:rsidP="0085301A">
      <w:pPr>
        <w:autoSpaceDE w:val="0"/>
        <w:autoSpaceDN w:val="0"/>
        <w:adjustRightInd w:val="0"/>
        <w:jc w:val="both"/>
        <w:rPr>
          <w:szCs w:val="20"/>
          <w:lang w:val="en-US"/>
        </w:rPr>
      </w:pPr>
      <w:r>
        <w:rPr>
          <w:rFonts w:cs="TimesNewRomanPSMT"/>
          <w:szCs w:val="21"/>
          <w:lang w:val="en-US"/>
        </w:rPr>
        <w:tab/>
        <w:t>The determination of the steady-state parameters (K</w:t>
      </w:r>
      <w:r>
        <w:rPr>
          <w:rFonts w:cs="TimesNewRomanPSMT"/>
          <w:szCs w:val="21"/>
          <w:vertAlign w:val="subscript"/>
          <w:lang w:val="en-US"/>
        </w:rPr>
        <w:t>M</w:t>
      </w:r>
      <w:r>
        <w:rPr>
          <w:rFonts w:cs="TimesNewRomanPSMT"/>
          <w:szCs w:val="21"/>
          <w:lang w:val="en-US"/>
        </w:rPr>
        <w:t xml:space="preserve"> &amp; </w:t>
      </w:r>
      <w:proofErr w:type="spellStart"/>
      <w:r>
        <w:rPr>
          <w:rFonts w:cs="TimesNewRomanPSMT"/>
          <w:szCs w:val="21"/>
          <w:lang w:val="en-US"/>
        </w:rPr>
        <w:t>k</w:t>
      </w:r>
      <w:r>
        <w:rPr>
          <w:rFonts w:cs="TimesNewRomanPSMT"/>
          <w:szCs w:val="21"/>
          <w:vertAlign w:val="subscript"/>
          <w:lang w:val="en-US"/>
        </w:rPr>
        <w:t>CAT</w:t>
      </w:r>
      <w:proofErr w:type="spellEnd"/>
      <w:r>
        <w:rPr>
          <w:rFonts w:cs="TimesNewRomanPSMT"/>
          <w:szCs w:val="21"/>
          <w:lang w:val="en-US"/>
        </w:rPr>
        <w:t xml:space="preserve">) for enzymes which obey the </w:t>
      </w:r>
      <w:proofErr w:type="spellStart"/>
      <w:r>
        <w:rPr>
          <w:rFonts w:cs="TimesNewRomanPSMT"/>
          <w:szCs w:val="21"/>
          <w:lang w:val="en-US"/>
        </w:rPr>
        <w:t>Michaelis-Menten</w:t>
      </w:r>
      <w:proofErr w:type="spellEnd"/>
      <w:r>
        <w:rPr>
          <w:rFonts w:cs="TimesNewRomanPSMT"/>
          <w:szCs w:val="21"/>
          <w:lang w:val="en-US"/>
        </w:rPr>
        <w:t xml:space="preserve"> (MM) equation [1] relies on experimental determination of the initial rates of substrate consumption or product formation, provided the </w:t>
      </w:r>
      <w:r>
        <w:rPr>
          <w:szCs w:val="20"/>
          <w:lang w:val="en-US"/>
        </w:rPr>
        <w:t>quasi</w:t>
      </w:r>
      <w:r>
        <w:rPr>
          <w:b/>
          <w:bCs/>
          <w:szCs w:val="20"/>
          <w:lang w:val="en-US"/>
        </w:rPr>
        <w:t>-</w:t>
      </w:r>
      <w:r>
        <w:rPr>
          <w:szCs w:val="20"/>
          <w:lang w:val="en-US"/>
        </w:rPr>
        <w:t>steady</w:t>
      </w:r>
      <w:r>
        <w:rPr>
          <w:b/>
          <w:bCs/>
          <w:szCs w:val="20"/>
          <w:lang w:val="en-US"/>
        </w:rPr>
        <w:t>-</w:t>
      </w:r>
      <w:r>
        <w:rPr>
          <w:szCs w:val="20"/>
          <w:lang w:val="en-US"/>
        </w:rPr>
        <w:t xml:space="preserve">state approximation is verified [2]. The relevance of this analysis resides in the time-independent </w:t>
      </w:r>
      <w:proofErr w:type="gramStart"/>
      <w:r>
        <w:rPr>
          <w:szCs w:val="20"/>
          <w:lang w:val="en-US"/>
        </w:rPr>
        <w:t>hyperbolic  relation</w:t>
      </w:r>
      <w:proofErr w:type="gramEnd"/>
      <w:r>
        <w:rPr>
          <w:szCs w:val="20"/>
          <w:lang w:val="en-US"/>
        </w:rPr>
        <w:t xml:space="preserve"> of the initial velocity with initial substrate concentration. Alternatively, the </w:t>
      </w:r>
      <w:r>
        <w:rPr>
          <w:rFonts w:cs="TimesNewRomanPSMT"/>
          <w:szCs w:val="21"/>
          <w:lang w:val="en-US"/>
        </w:rPr>
        <w:t xml:space="preserve">steady-state parameters may be obtained by fitting the </w:t>
      </w:r>
      <w:r>
        <w:rPr>
          <w:szCs w:val="20"/>
          <w:lang w:val="en-US"/>
        </w:rPr>
        <w:t>time-progress curves to the so-called time-</w:t>
      </w:r>
      <w:proofErr w:type="gramStart"/>
      <w:r>
        <w:rPr>
          <w:szCs w:val="20"/>
          <w:lang w:val="en-US"/>
        </w:rPr>
        <w:t>integrated  MM</w:t>
      </w:r>
      <w:proofErr w:type="gramEnd"/>
      <w:r>
        <w:rPr>
          <w:szCs w:val="20"/>
          <w:lang w:val="en-US"/>
        </w:rPr>
        <w:t xml:space="preserve"> equation [3], in which the time-dependent substrate concentration can nevertheless not be explicitly solved, because of exponential and linear substrate terms present in the equation. In 1997 Schnell &amp; Mendoza, however [4], </w:t>
      </w:r>
      <w:r>
        <w:rPr>
          <w:lang w:val="en-US"/>
        </w:rPr>
        <w:t>developed a closed form solution for the total time evolution of substrate concentration</w:t>
      </w:r>
      <w:r>
        <w:rPr>
          <w:szCs w:val="20"/>
          <w:lang w:val="en-US"/>
        </w:rPr>
        <w:t xml:space="preserve"> which makes use of the Lambert w function</w:t>
      </w:r>
      <w:r>
        <w:rPr>
          <w:rFonts w:cs="TimesNewRomanPSMT"/>
          <w:szCs w:val="21"/>
          <w:lang w:val="en-US"/>
        </w:rPr>
        <w:t>. The Schnell-Mendoza equation, which is still largely unknown</w:t>
      </w:r>
      <w:proofErr w:type="gramStart"/>
      <w:r>
        <w:rPr>
          <w:rFonts w:cs="TimesNewRomanPSMT"/>
          <w:szCs w:val="21"/>
          <w:lang w:val="en-US"/>
        </w:rPr>
        <w:t>,  allows</w:t>
      </w:r>
      <w:proofErr w:type="gramEnd"/>
      <w:r>
        <w:rPr>
          <w:rFonts w:cs="TimesNewRomanPSMT"/>
          <w:szCs w:val="21"/>
          <w:lang w:val="en-US"/>
        </w:rPr>
        <w:t xml:space="preserve"> direct fitting of the complete substrate or product time progress curves to determine the steady-state parameters, and is shown to be readily modified to account for reversibility and enzyme inhibition. </w:t>
      </w:r>
    </w:p>
    <w:p w:rsidR="0085301A" w:rsidRDefault="0085301A" w:rsidP="0085301A">
      <w:pPr>
        <w:widowControl w:val="0"/>
        <w:autoSpaceDE w:val="0"/>
        <w:autoSpaceDN w:val="0"/>
        <w:adjustRightInd w:val="0"/>
        <w:ind w:firstLine="708"/>
        <w:jc w:val="both"/>
        <w:rPr>
          <w:rFonts w:cs="TimesNewRomanPSMT"/>
          <w:szCs w:val="21"/>
          <w:lang w:val="en-US"/>
        </w:rPr>
      </w:pPr>
      <w:r>
        <w:rPr>
          <w:rFonts w:cs="TimesNewRomanPSMT"/>
          <w:szCs w:val="21"/>
          <w:lang w:val="en-US"/>
        </w:rPr>
        <w:t xml:space="preserve">We will present experimental data on enzymes which catalyze irreversible and </w:t>
      </w:r>
      <w:proofErr w:type="gramStart"/>
      <w:r>
        <w:rPr>
          <w:rFonts w:cs="TimesNewRomanPSMT"/>
          <w:szCs w:val="21"/>
          <w:lang w:val="en-US"/>
        </w:rPr>
        <w:t>reversible  reactions</w:t>
      </w:r>
      <w:proofErr w:type="gramEnd"/>
      <w:r>
        <w:rPr>
          <w:rFonts w:cs="TimesNewRomanPSMT"/>
          <w:szCs w:val="21"/>
          <w:lang w:val="en-US"/>
        </w:rPr>
        <w:t>, discuss the results, and will show that the Schnell-Mendoza equation represents a new frontier in the study of steady-state enzyme kinetics.</w:t>
      </w:r>
    </w:p>
    <w:p w:rsidR="0085301A" w:rsidRDefault="0085301A" w:rsidP="0085301A">
      <w:pPr>
        <w:widowControl w:val="0"/>
        <w:autoSpaceDE w:val="0"/>
        <w:autoSpaceDN w:val="0"/>
        <w:adjustRightInd w:val="0"/>
        <w:ind w:firstLine="708"/>
        <w:jc w:val="both"/>
        <w:rPr>
          <w:rFonts w:cs="TimesNewRomanPSMT"/>
          <w:szCs w:val="21"/>
          <w:lang w:val="en-US"/>
        </w:rPr>
      </w:pPr>
    </w:p>
    <w:p w:rsidR="0085301A" w:rsidRDefault="0085301A" w:rsidP="0085301A">
      <w:pPr>
        <w:widowControl w:val="0"/>
        <w:autoSpaceDE w:val="0"/>
        <w:autoSpaceDN w:val="0"/>
        <w:adjustRightInd w:val="0"/>
        <w:jc w:val="both"/>
        <w:rPr>
          <w:rFonts w:cs="TimesNewRomanPSMT"/>
          <w:szCs w:val="21"/>
          <w:lang w:val="en-US"/>
        </w:rPr>
      </w:pPr>
      <w:r>
        <w:rPr>
          <w:rFonts w:cs="TimesNewRomanPSMT"/>
          <w:szCs w:val="21"/>
          <w:lang w:val="en-US"/>
        </w:rPr>
        <w:t xml:space="preserve"> References:</w:t>
      </w:r>
    </w:p>
    <w:p w:rsidR="0085301A" w:rsidRDefault="0085301A" w:rsidP="0085301A">
      <w:pPr>
        <w:widowControl w:val="0"/>
        <w:autoSpaceDE w:val="0"/>
        <w:autoSpaceDN w:val="0"/>
        <w:adjustRightInd w:val="0"/>
        <w:jc w:val="both"/>
        <w:rPr>
          <w:rFonts w:cs="TimesNewRomanPSMT"/>
          <w:szCs w:val="21"/>
          <w:lang w:val="en-US"/>
        </w:rPr>
      </w:pPr>
      <w:r>
        <w:rPr>
          <w:rFonts w:cs="TimesNewRomanPSMT"/>
          <w:szCs w:val="21"/>
          <w:lang w:val="en-US"/>
        </w:rPr>
        <w:t xml:space="preserve">[1] </w:t>
      </w:r>
      <w:proofErr w:type="spellStart"/>
      <w:r>
        <w:rPr>
          <w:bCs/>
          <w:szCs w:val="16"/>
          <w:lang w:val="en-US"/>
        </w:rPr>
        <w:t>Michaelis</w:t>
      </w:r>
      <w:proofErr w:type="spellEnd"/>
      <w:r>
        <w:rPr>
          <w:bCs/>
          <w:szCs w:val="16"/>
          <w:lang w:val="en-US"/>
        </w:rPr>
        <w:t xml:space="preserve"> &amp; </w:t>
      </w:r>
      <w:proofErr w:type="spellStart"/>
      <w:r>
        <w:rPr>
          <w:bCs/>
          <w:szCs w:val="16"/>
          <w:lang w:val="en-US"/>
        </w:rPr>
        <w:t>Menten</w:t>
      </w:r>
      <w:proofErr w:type="spellEnd"/>
      <w:r>
        <w:rPr>
          <w:bCs/>
          <w:szCs w:val="16"/>
          <w:lang w:val="en-US"/>
        </w:rPr>
        <w:t xml:space="preserve"> (1913) </w:t>
      </w:r>
      <w:proofErr w:type="spellStart"/>
      <w:r>
        <w:rPr>
          <w:bCs/>
          <w:szCs w:val="16"/>
          <w:lang w:val="en-US"/>
        </w:rPr>
        <w:t>Biochem</w:t>
      </w:r>
      <w:proofErr w:type="spellEnd"/>
      <w:r>
        <w:rPr>
          <w:bCs/>
          <w:szCs w:val="16"/>
          <w:lang w:val="en-US"/>
        </w:rPr>
        <w:t xml:space="preserve">. Z. 49: 333-369 and see </w:t>
      </w:r>
      <w:r>
        <w:rPr>
          <w:rFonts w:cs="TimesNewRomanPSMT"/>
          <w:szCs w:val="21"/>
          <w:lang w:val="en-US"/>
        </w:rPr>
        <w:t xml:space="preserve">Johnson &amp; Goody (2011) Biochemistry </w:t>
      </w:r>
      <w:r>
        <w:rPr>
          <w:rStyle w:val="citationvolume"/>
          <w:lang w:val="en-US"/>
        </w:rPr>
        <w:t>50</w:t>
      </w:r>
      <w:r>
        <w:rPr>
          <w:lang w:val="en-US"/>
        </w:rPr>
        <w:t>: 8264–8269</w:t>
      </w:r>
    </w:p>
    <w:p w:rsidR="0085301A" w:rsidRDefault="0085301A" w:rsidP="0085301A">
      <w:pPr>
        <w:widowControl w:val="0"/>
        <w:autoSpaceDE w:val="0"/>
        <w:autoSpaceDN w:val="0"/>
        <w:adjustRightInd w:val="0"/>
        <w:jc w:val="both"/>
        <w:rPr>
          <w:szCs w:val="16"/>
          <w:lang w:val="en-US"/>
        </w:rPr>
      </w:pPr>
      <w:r>
        <w:rPr>
          <w:rFonts w:cs="TimesNewRomanPSMT"/>
          <w:szCs w:val="21"/>
          <w:lang w:val="en-US"/>
        </w:rPr>
        <w:t xml:space="preserve">[2] </w:t>
      </w:r>
      <w:proofErr w:type="spellStart"/>
      <w:r>
        <w:rPr>
          <w:bCs/>
          <w:szCs w:val="16"/>
          <w:lang w:val="en-US"/>
        </w:rPr>
        <w:t>Laidler</w:t>
      </w:r>
      <w:proofErr w:type="spellEnd"/>
      <w:r>
        <w:rPr>
          <w:bCs/>
          <w:szCs w:val="16"/>
          <w:lang w:val="en-US"/>
        </w:rPr>
        <w:t xml:space="preserve"> (1955) </w:t>
      </w:r>
      <w:r>
        <w:rPr>
          <w:szCs w:val="16"/>
          <w:lang w:val="en-US"/>
        </w:rPr>
        <w:t>Can. J. Chem. 33: 1614-1624</w:t>
      </w:r>
    </w:p>
    <w:p w:rsidR="0085301A" w:rsidRDefault="0085301A" w:rsidP="0085301A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r>
        <w:rPr>
          <w:lang w:val="en-US"/>
        </w:rPr>
        <w:t xml:space="preserve">[3] </w:t>
      </w:r>
      <w:proofErr w:type="spellStart"/>
      <w:r>
        <w:rPr>
          <w:lang w:val="en-US"/>
        </w:rPr>
        <w:t>Leskovac</w:t>
      </w:r>
      <w:proofErr w:type="spellEnd"/>
      <w:r>
        <w:rPr>
          <w:lang w:val="en-US"/>
        </w:rPr>
        <w:t xml:space="preserve"> (2003) in </w:t>
      </w:r>
      <w:proofErr w:type="gramStart"/>
      <w:r>
        <w:rPr>
          <w:lang w:val="en-US"/>
        </w:rPr>
        <w:t>“ Comprehensive</w:t>
      </w:r>
      <w:proofErr w:type="gramEnd"/>
      <w:r>
        <w:rPr>
          <w:lang w:val="en-US"/>
        </w:rPr>
        <w:t xml:space="preserve"> enzyme kinetics”, Kluwer Academic Publishers</w:t>
      </w:r>
    </w:p>
    <w:p w:rsidR="0085301A" w:rsidRDefault="0085301A" w:rsidP="0085301A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r>
        <w:rPr>
          <w:lang w:val="en-US"/>
        </w:rPr>
        <w:t>[4] Schnell &amp; Mendoza</w:t>
      </w:r>
      <w:r>
        <w:rPr>
          <w:rFonts w:cs="TimesNewRomanPSMT"/>
          <w:szCs w:val="21"/>
          <w:lang w:val="en-US"/>
        </w:rPr>
        <w:t xml:space="preserve"> (1997) </w:t>
      </w:r>
      <w:r>
        <w:rPr>
          <w:bCs/>
          <w:szCs w:val="20"/>
          <w:lang w:val="en-US"/>
        </w:rPr>
        <w:t>J.</w:t>
      </w:r>
      <w:r>
        <w:rPr>
          <w:szCs w:val="20"/>
          <w:lang w:val="en-US"/>
        </w:rPr>
        <w:t xml:space="preserve"> </w:t>
      </w:r>
      <w:proofErr w:type="spellStart"/>
      <w:r>
        <w:rPr>
          <w:bCs/>
          <w:szCs w:val="20"/>
          <w:lang w:val="en-US"/>
        </w:rPr>
        <w:t>Theor</w:t>
      </w:r>
      <w:proofErr w:type="spellEnd"/>
      <w:r>
        <w:rPr>
          <w:szCs w:val="20"/>
          <w:lang w:val="en-US"/>
        </w:rPr>
        <w:t xml:space="preserve">. </w:t>
      </w:r>
      <w:r>
        <w:rPr>
          <w:bCs/>
          <w:szCs w:val="20"/>
          <w:lang w:val="en-US"/>
        </w:rPr>
        <w:t>Biol. 187: 207-212</w:t>
      </w:r>
      <w:r>
        <w:rPr>
          <w:lang w:val="en-US"/>
        </w:rPr>
        <w:t xml:space="preserve"> </w:t>
      </w:r>
    </w:p>
    <w:p w:rsidR="0085301A" w:rsidRDefault="0085301A" w:rsidP="0085301A">
      <w:pPr>
        <w:rPr>
          <w:lang w:val="en-US"/>
        </w:rPr>
      </w:pPr>
    </w:p>
    <w:p w:rsidR="00C43D69" w:rsidRPr="0085301A" w:rsidRDefault="00C43D69">
      <w:pPr>
        <w:rPr>
          <w:lang w:val="en-US"/>
        </w:rPr>
      </w:pPr>
    </w:p>
    <w:sectPr w:rsidR="00C43D69" w:rsidRPr="00853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01A"/>
    <w:rsid w:val="0085301A"/>
    <w:rsid w:val="008E10E5"/>
    <w:rsid w:val="00C4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1F0C44-8B78-4E1B-9F44-94E7C9DA5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eading1">
    <w:name w:val="heading 1"/>
    <w:basedOn w:val="Normal"/>
    <w:link w:val="Heading1Char"/>
    <w:uiPriority w:val="9"/>
    <w:qFormat/>
    <w:rsid w:val="0085301A"/>
    <w:pPr>
      <w:spacing w:beforeLines="1"/>
      <w:outlineLvl w:val="0"/>
    </w:pPr>
    <w:rPr>
      <w:rFonts w:ascii="Times" w:eastAsiaTheme="minorEastAsia" w:hAnsi="Times" w:cstheme="minorBidi"/>
      <w:b/>
      <w:kern w:val="36"/>
      <w:sz w:val="48"/>
      <w:szCs w:val="20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01A"/>
    <w:rPr>
      <w:rFonts w:ascii="Times" w:eastAsiaTheme="minorEastAsia" w:hAnsi="Times"/>
      <w:b/>
      <w:kern w:val="36"/>
      <w:sz w:val="48"/>
      <w:szCs w:val="20"/>
      <w:lang w:val="it-IT" w:eastAsia="it-IT"/>
    </w:rPr>
  </w:style>
  <w:style w:type="character" w:customStyle="1" w:styleId="citationvolume">
    <w:name w:val="citation_volume"/>
    <w:basedOn w:val="DefaultParagraphFont"/>
    <w:rsid w:val="00853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6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1791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Krzysztof</cp:lastModifiedBy>
  <cp:revision>2</cp:revision>
  <dcterms:created xsi:type="dcterms:W3CDTF">2017-04-10T06:36:00Z</dcterms:created>
  <dcterms:modified xsi:type="dcterms:W3CDTF">2017-04-10T06:36:00Z</dcterms:modified>
</cp:coreProperties>
</file>