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9AE" w:rsidRPr="00A939AE" w:rsidRDefault="00A939AE" w:rsidP="00A939AE">
      <w:pPr>
        <w:spacing w:after="0" w:line="360" w:lineRule="auto"/>
        <w:jc w:val="center"/>
        <w:rPr>
          <w:rFonts w:ascii="Times New Roman" w:eastAsia="Times New Roman" w:hAnsi="Times New Roman" w:cs="Times New Roman"/>
          <w:sz w:val="32"/>
          <w:szCs w:val="32"/>
          <w:lang w:eastAsia="pl-PL"/>
        </w:rPr>
      </w:pPr>
      <w:r w:rsidRPr="00A939AE">
        <w:rPr>
          <w:rFonts w:ascii="Times New Roman" w:eastAsia="Times New Roman" w:hAnsi="Times New Roman" w:cs="Times New Roman"/>
          <w:b/>
          <w:sz w:val="32"/>
          <w:szCs w:val="32"/>
          <w:lang w:eastAsia="pl-PL"/>
        </w:rPr>
        <w:t xml:space="preserve">Badanie zależności funkcji indukcji różnicowania komórek ostrych białaczek szpikowych od struktury analogów </w:t>
      </w:r>
      <w:r>
        <w:rPr>
          <w:rFonts w:ascii="Times New Roman" w:eastAsia="Times New Roman" w:hAnsi="Times New Roman" w:cs="Times New Roman"/>
          <w:b/>
          <w:sz w:val="32"/>
          <w:szCs w:val="32"/>
          <w:lang w:eastAsia="pl-PL"/>
        </w:rPr>
        <w:br/>
      </w:r>
      <w:bookmarkStart w:id="0" w:name="_GoBack"/>
      <w:bookmarkEnd w:id="0"/>
      <w:r w:rsidRPr="00A939AE">
        <w:rPr>
          <w:rFonts w:ascii="Times New Roman" w:eastAsia="Times New Roman" w:hAnsi="Times New Roman" w:cs="Times New Roman"/>
          <w:b/>
          <w:sz w:val="32"/>
          <w:szCs w:val="32"/>
          <w:lang w:eastAsia="pl-PL"/>
        </w:rPr>
        <w:t>witamin D</w:t>
      </w:r>
      <w:r w:rsidRPr="00A939AE">
        <w:rPr>
          <w:rFonts w:ascii="Times New Roman" w:eastAsia="Times New Roman" w:hAnsi="Times New Roman" w:cs="Times New Roman"/>
          <w:b/>
          <w:sz w:val="32"/>
          <w:szCs w:val="32"/>
          <w:vertAlign w:val="subscript"/>
          <w:lang w:eastAsia="pl-PL"/>
        </w:rPr>
        <w:t>2</w:t>
      </w:r>
      <w:r w:rsidRPr="00A939AE">
        <w:rPr>
          <w:rFonts w:ascii="Times New Roman" w:eastAsia="Times New Roman" w:hAnsi="Times New Roman" w:cs="Times New Roman"/>
          <w:b/>
          <w:sz w:val="32"/>
          <w:szCs w:val="32"/>
          <w:lang w:eastAsia="pl-PL"/>
        </w:rPr>
        <w:t xml:space="preserve"> oraz D</w:t>
      </w:r>
      <w:r w:rsidRPr="00A939AE">
        <w:rPr>
          <w:rFonts w:ascii="Times New Roman" w:eastAsia="Times New Roman" w:hAnsi="Times New Roman" w:cs="Times New Roman"/>
          <w:b/>
          <w:sz w:val="32"/>
          <w:szCs w:val="32"/>
          <w:vertAlign w:val="subscript"/>
          <w:lang w:eastAsia="pl-PL"/>
        </w:rPr>
        <w:t>3</w:t>
      </w:r>
      <w:r w:rsidRPr="00A939AE">
        <w:rPr>
          <w:rFonts w:ascii="Times New Roman" w:eastAsia="Times New Roman" w:hAnsi="Times New Roman" w:cs="Times New Roman"/>
          <w:b/>
          <w:sz w:val="32"/>
          <w:szCs w:val="32"/>
          <w:lang w:eastAsia="pl-PL"/>
        </w:rPr>
        <w:t>.</w:t>
      </w:r>
    </w:p>
    <w:p w:rsidR="009333D9" w:rsidRPr="009333D9" w:rsidRDefault="009333D9" w:rsidP="009333D9">
      <w:pPr>
        <w:keepNext/>
        <w:keepLines/>
        <w:spacing w:before="480" w:after="0" w:line="360" w:lineRule="auto"/>
        <w:outlineLvl w:val="0"/>
        <w:rPr>
          <w:rFonts w:ascii="Times New Roman" w:eastAsia="Calibri" w:hAnsi="Times New Roman" w:cs="Times New Roman"/>
          <w:b/>
          <w:bCs/>
          <w:sz w:val="26"/>
          <w:szCs w:val="26"/>
          <w:u w:val="single"/>
        </w:rPr>
      </w:pPr>
      <w:r w:rsidRPr="009333D9">
        <w:rPr>
          <w:rFonts w:ascii="Times New Roman" w:eastAsia="Calibri" w:hAnsi="Times New Roman" w:cs="Times New Roman"/>
          <w:b/>
          <w:bCs/>
          <w:sz w:val="26"/>
          <w:szCs w:val="26"/>
          <w:u w:val="single"/>
        </w:rPr>
        <w:t>STRESZCZENIE W JĘZYKU POLSKIM</w:t>
      </w:r>
    </w:p>
    <w:p w:rsidR="009333D9" w:rsidRPr="009333D9" w:rsidRDefault="009333D9" w:rsidP="009333D9">
      <w:pPr>
        <w:tabs>
          <w:tab w:val="left" w:pos="567"/>
        </w:tabs>
        <w:spacing w:after="0" w:line="360" w:lineRule="auto"/>
        <w:jc w:val="both"/>
        <w:rPr>
          <w:rFonts w:ascii="Times New Roman" w:eastAsia="Calibri" w:hAnsi="Times New Roman" w:cs="Times New Roman"/>
          <w:sz w:val="24"/>
        </w:rPr>
      </w:pPr>
      <w:r w:rsidRPr="009333D9">
        <w:rPr>
          <w:rFonts w:ascii="Times New Roman" w:eastAsia="Calibri" w:hAnsi="Times New Roman" w:cs="Times New Roman"/>
          <w:sz w:val="24"/>
        </w:rPr>
        <w:tab/>
        <w:t xml:space="preserve">Podstawową funkcją biologiczną </w:t>
      </w:r>
      <w:r w:rsidRPr="009333D9">
        <w:rPr>
          <w:rFonts w:ascii="Times New Roman" w:eastAsia="Times New Roman" w:hAnsi="Times New Roman" w:cs="Times New Roman"/>
          <w:sz w:val="24"/>
          <w:szCs w:val="24"/>
          <w:lang w:eastAsia="pl-PL"/>
        </w:rPr>
        <w:t>1,25-dihydroksywitaminy D</w:t>
      </w:r>
      <w:r w:rsidRPr="009333D9">
        <w:rPr>
          <w:rFonts w:ascii="Times New Roman" w:eastAsia="Times New Roman" w:hAnsi="Times New Roman" w:cs="Times New Roman"/>
          <w:sz w:val="24"/>
          <w:szCs w:val="24"/>
          <w:vertAlign w:val="subscript"/>
          <w:lang w:eastAsia="pl-PL"/>
        </w:rPr>
        <w:t xml:space="preserve">3 </w:t>
      </w:r>
      <w:r w:rsidRPr="009333D9">
        <w:rPr>
          <w:rFonts w:ascii="Times New Roman" w:eastAsia="Times New Roman" w:hAnsi="Times New Roman" w:cs="Times New Roman"/>
          <w:sz w:val="24"/>
          <w:szCs w:val="24"/>
          <w:lang w:eastAsia="pl-PL"/>
        </w:rPr>
        <w:t>(</w:t>
      </w:r>
      <w:r w:rsidRPr="009333D9">
        <w:rPr>
          <w:rFonts w:ascii="Times New Roman" w:eastAsia="Calibri" w:hAnsi="Times New Roman" w:cs="Times New Roman"/>
          <w:sz w:val="24"/>
        </w:rPr>
        <w:t xml:space="preserve">1,25D) jest utrzymywanie homeostazy wapniowo-fosforanowej organizmu. Poza tym 1,25D pełni liczne funkcje tzw. "nieklasyczne” m.in.: reguluje odpowiedź immunologiczną organizmu, proliferację oraz różnicowanie wielu rodzajów komórek. Swoją aktywność biologiczną, polegającą na transkrypcji genów docelowych, 1,25D uzyskuje poprzez jądrowy receptor (VDR), działający jako zależny od liganda czynnik transkrypcyjny aktywujący szereg szlaków sygnałowych, chociaż dokładny mechanizm działania 1,25D na komórki docelowe nie został jeszcze w pełni poznany. Od lat postuluje się zastosowanie w leczeniu ostrych białaczek szpikowych (AML) związków indukujących różnicowanie się komórek. U chorych, w procesie hematopoezy, dochodzi do blokady szlaku różnicowania komórek linii </w:t>
      </w:r>
      <w:proofErr w:type="spellStart"/>
      <w:r w:rsidRPr="009333D9">
        <w:rPr>
          <w:rFonts w:ascii="Times New Roman" w:eastAsia="Calibri" w:hAnsi="Times New Roman" w:cs="Times New Roman"/>
          <w:sz w:val="24"/>
        </w:rPr>
        <w:t>mieloidalnej</w:t>
      </w:r>
      <w:proofErr w:type="spellEnd"/>
      <w:r w:rsidRPr="009333D9">
        <w:rPr>
          <w:rFonts w:ascii="Times New Roman" w:eastAsia="Calibri" w:hAnsi="Times New Roman" w:cs="Times New Roman"/>
          <w:sz w:val="24"/>
        </w:rPr>
        <w:t xml:space="preserve">, co powoduje nagromadzenie niedojrzałych komórek tzw. </w:t>
      </w:r>
      <w:proofErr w:type="spellStart"/>
      <w:r w:rsidRPr="009333D9">
        <w:rPr>
          <w:rFonts w:ascii="Times New Roman" w:eastAsia="Calibri" w:hAnsi="Times New Roman" w:cs="Times New Roman"/>
          <w:sz w:val="24"/>
        </w:rPr>
        <w:t>blastów</w:t>
      </w:r>
      <w:proofErr w:type="spellEnd"/>
      <w:r w:rsidRPr="009333D9">
        <w:rPr>
          <w:rFonts w:ascii="Times New Roman" w:eastAsia="Calibri" w:hAnsi="Times New Roman" w:cs="Times New Roman"/>
          <w:sz w:val="24"/>
        </w:rPr>
        <w:t xml:space="preserve"> i braku ich różnicowania do monocytów i makrofagów. Problemem w klinicznym zastosowaniu 1,25D jest silna aktywność wapniowa przejawiająca się zdolnością do mobilizowania jonów wapnia z kości, jelit i nerek do surowicy krwi, co skutkuje odwapnieniem kości i powstawaniem złogów wapnia w tkankach miękkich. Stąd podejmowane są próby syntezy analogów witaminy D pozbawionych aktywności wapniowej, przy zachowanej lub zwiększonej zdolności do indukcji różnicowania komórek. </w:t>
      </w:r>
    </w:p>
    <w:p w:rsidR="009333D9" w:rsidRPr="009333D9" w:rsidRDefault="009333D9" w:rsidP="009333D9">
      <w:pPr>
        <w:tabs>
          <w:tab w:val="left" w:pos="567"/>
        </w:tabs>
        <w:spacing w:after="0" w:line="360" w:lineRule="auto"/>
        <w:jc w:val="both"/>
        <w:rPr>
          <w:rFonts w:ascii="Times New Roman" w:eastAsia="Calibri" w:hAnsi="Times New Roman" w:cs="Times New Roman"/>
          <w:sz w:val="24"/>
        </w:rPr>
      </w:pPr>
      <w:r w:rsidRPr="009333D9">
        <w:rPr>
          <w:rFonts w:ascii="Times New Roman" w:eastAsia="Calibri" w:hAnsi="Times New Roman" w:cs="Times New Roman"/>
          <w:sz w:val="24"/>
        </w:rPr>
        <w:tab/>
        <w:t xml:space="preserve">W rozprawie doktorskiej badano zdolność 1,25D oraz ośmiu syntetycznych, </w:t>
      </w:r>
      <w:proofErr w:type="spellStart"/>
      <w:r w:rsidRPr="009333D9">
        <w:rPr>
          <w:rFonts w:ascii="Times New Roman" w:eastAsia="Calibri" w:hAnsi="Times New Roman" w:cs="Times New Roman"/>
          <w:sz w:val="24"/>
        </w:rPr>
        <w:t>semi</w:t>
      </w:r>
      <w:proofErr w:type="spellEnd"/>
      <w:r w:rsidRPr="009333D9">
        <w:rPr>
          <w:rFonts w:ascii="Times New Roman" w:eastAsia="Calibri" w:hAnsi="Times New Roman" w:cs="Times New Roman"/>
          <w:sz w:val="24"/>
        </w:rPr>
        <w:t>-selektywnych analogów o obniżonej aktywności wapniowej do indukcji różnicowania komórek białaczkowych izolowanych z krwi obwodowej pacjentów oraz linii komórkowych AML: HL60, THP-1, NB-4, U-937, MV4-11, MOLM-13. Podjęto próbę zdefiniowania grup pacjentów, dla których zaproponowana terapia z udziałem związków różnicujących byłaby skuteczna oraz wyselekcjonowano najbardziej aktywne analogi. Dodatkowo zbadano poziom ekspresji genu i białka 24 – hydroksylazy (CYP24A1), odpowiedzialnej za katabolizm 1,25D.</w:t>
      </w:r>
    </w:p>
    <w:p w:rsidR="009333D9" w:rsidRPr="009333D9" w:rsidRDefault="009333D9" w:rsidP="009333D9">
      <w:pPr>
        <w:spacing w:after="0" w:line="360" w:lineRule="auto"/>
        <w:jc w:val="both"/>
        <w:rPr>
          <w:rFonts w:ascii="Times New Roman" w:eastAsia="Calibri" w:hAnsi="Times New Roman" w:cs="Times New Roman"/>
          <w:sz w:val="24"/>
          <w:szCs w:val="24"/>
        </w:rPr>
      </w:pPr>
      <w:r w:rsidRPr="009333D9">
        <w:rPr>
          <w:rFonts w:ascii="Times New Roman" w:eastAsia="Calibri" w:hAnsi="Times New Roman" w:cs="Times New Roman"/>
          <w:sz w:val="24"/>
        </w:rPr>
        <w:tab/>
        <w:t>W pracy wykazano, że trzy z badanych analogów okazały się szczególnie skuteczne: analog witaminy D</w:t>
      </w:r>
      <w:r w:rsidRPr="009333D9">
        <w:rPr>
          <w:rFonts w:ascii="Times New Roman" w:eastAsia="Calibri" w:hAnsi="Times New Roman" w:cs="Times New Roman"/>
          <w:sz w:val="24"/>
          <w:vertAlign w:val="subscript"/>
        </w:rPr>
        <w:t>3</w:t>
      </w:r>
      <w:r w:rsidRPr="009333D9">
        <w:rPr>
          <w:rFonts w:ascii="Times New Roman" w:eastAsia="Calibri" w:hAnsi="Times New Roman" w:cs="Times New Roman"/>
          <w:sz w:val="24"/>
        </w:rPr>
        <w:t xml:space="preserve"> – PRI-2191 oraz analogi  witaminy D</w:t>
      </w:r>
      <w:r w:rsidRPr="009333D9">
        <w:rPr>
          <w:rFonts w:ascii="Times New Roman" w:eastAsia="Calibri" w:hAnsi="Times New Roman" w:cs="Times New Roman"/>
          <w:sz w:val="24"/>
          <w:vertAlign w:val="subscript"/>
        </w:rPr>
        <w:t>2</w:t>
      </w:r>
      <w:r w:rsidRPr="009333D9">
        <w:rPr>
          <w:rFonts w:ascii="Times New Roman" w:eastAsia="Calibri" w:hAnsi="Times New Roman" w:cs="Times New Roman"/>
          <w:sz w:val="24"/>
        </w:rPr>
        <w:t xml:space="preserve"> – PRI-1906 i PRI-1907. </w:t>
      </w:r>
      <w:r w:rsidRPr="009333D9">
        <w:rPr>
          <w:rFonts w:ascii="Times New Roman" w:eastAsia="Times New Roman" w:hAnsi="Times New Roman" w:cs="Times New Roman"/>
          <w:sz w:val="24"/>
          <w:szCs w:val="24"/>
          <w:lang w:eastAsia="pl-PL"/>
        </w:rPr>
        <w:t xml:space="preserve">Wyodrębniono dwie grupy pacjentów, których komórki odpowiadały na 1,25D </w:t>
      </w:r>
      <w:r w:rsidRPr="009333D9">
        <w:rPr>
          <w:rFonts w:ascii="Times New Roman" w:eastAsia="Times New Roman" w:hAnsi="Times New Roman" w:cs="Times New Roman"/>
          <w:sz w:val="24"/>
          <w:szCs w:val="24"/>
          <w:lang w:eastAsia="pl-PL"/>
        </w:rPr>
        <w:br/>
      </w:r>
      <w:r w:rsidRPr="009333D9">
        <w:rPr>
          <w:rFonts w:ascii="Times New Roman" w:eastAsia="Times New Roman" w:hAnsi="Times New Roman" w:cs="Times New Roman"/>
          <w:sz w:val="24"/>
          <w:szCs w:val="24"/>
          <w:lang w:eastAsia="pl-PL"/>
        </w:rPr>
        <w:lastRenderedPageBreak/>
        <w:t xml:space="preserve">i analogi odmiennie: grupę pacjentów z mutacją </w:t>
      </w:r>
      <w:r w:rsidRPr="009333D9">
        <w:rPr>
          <w:rFonts w:ascii="Times New Roman" w:eastAsia="Calibri" w:hAnsi="Times New Roman" w:cs="Times New Roman"/>
          <w:sz w:val="24"/>
        </w:rPr>
        <w:t xml:space="preserve">w genie Flt3, reagującą na związki pro-różnicujące słabiej oraz grupę pacjentów z mutacją w genie NPM1, reagującą silniej niż komórki pacjentów nieposiadających tej mutacji. Komórki linii MV4-11 i MOLM-13, posiadające mutację w genie Flt3 różnicowały się pod wpływem badanych związków, stąd </w:t>
      </w:r>
      <w:r w:rsidRPr="009333D9">
        <w:rPr>
          <w:rFonts w:ascii="Times New Roman" w:eastAsia="Calibri" w:hAnsi="Times New Roman" w:cs="Times New Roman"/>
          <w:sz w:val="24"/>
          <w:szCs w:val="24"/>
        </w:rPr>
        <w:t xml:space="preserve">mutacja w genie Flt3 nie jest bezpośrednią i jedyną przyczyną słabszego różnicowania komórek pacjentów z AML. </w:t>
      </w:r>
    </w:p>
    <w:p w:rsidR="009333D9" w:rsidRPr="009333D9" w:rsidRDefault="009333D9" w:rsidP="009333D9">
      <w:pPr>
        <w:spacing w:after="0" w:line="360" w:lineRule="auto"/>
        <w:ind w:firstLine="567"/>
        <w:jc w:val="both"/>
        <w:rPr>
          <w:rFonts w:ascii="Times New Roman" w:eastAsia="Calibri" w:hAnsi="Times New Roman" w:cs="Times New Roman"/>
          <w:sz w:val="24"/>
          <w:szCs w:val="24"/>
        </w:rPr>
      </w:pPr>
      <w:r w:rsidRPr="009333D9">
        <w:rPr>
          <w:rFonts w:ascii="Times New Roman" w:eastAsia="Calibri" w:hAnsi="Times New Roman" w:cs="Times New Roman"/>
          <w:sz w:val="24"/>
          <w:szCs w:val="24"/>
        </w:rPr>
        <w:t xml:space="preserve">Analog PRI-1907, posiadający grupę etylową w łańcuchu bocznym cząsteczki, wykazuje bardzo wysoką aktywność w niskich stężeniach, co zaobserwowano zarówno </w:t>
      </w:r>
      <w:r w:rsidRPr="009333D9">
        <w:rPr>
          <w:rFonts w:ascii="Times New Roman" w:eastAsia="Calibri" w:hAnsi="Times New Roman" w:cs="Times New Roman"/>
          <w:sz w:val="24"/>
          <w:szCs w:val="24"/>
        </w:rPr>
        <w:br/>
        <w:t xml:space="preserve">w liniach komórkowych, jak i w komórkach pacjentów z AML. Wysoka aktywność PRI-1907 w porównaniu do pozostałych badanych związków pro-różnicujących skłoniła do sprawdzenia, czy nie jest to wynikiem jego odmiennego katabolizmu. We wszystkich badanych komórkach </w:t>
      </w:r>
      <w:r w:rsidRPr="009333D9">
        <w:rPr>
          <w:rFonts w:ascii="Times New Roman" w:eastAsia="Calibri" w:hAnsi="Times New Roman" w:cs="Times New Roman"/>
          <w:sz w:val="24"/>
        </w:rPr>
        <w:t xml:space="preserve">konstytutywny poziom CYP24A1 był bardzo niski, ale </w:t>
      </w:r>
      <w:r w:rsidRPr="009333D9">
        <w:rPr>
          <w:rFonts w:ascii="Times New Roman" w:eastAsia="Calibri" w:hAnsi="Times New Roman" w:cs="Times New Roman"/>
          <w:sz w:val="24"/>
          <w:szCs w:val="24"/>
        </w:rPr>
        <w:t xml:space="preserve">w wyniku ekspozycji komórek linii białaczkowych na 1,25D, PRI-1906, PRI-1907 lub PRI-2191 dochodziło do systematycznego, stosunkowo powolnego, ale bardzo dużego wzrostu poziomu </w:t>
      </w:r>
      <w:proofErr w:type="spellStart"/>
      <w:r w:rsidRPr="009333D9">
        <w:rPr>
          <w:rFonts w:ascii="Times New Roman" w:eastAsia="Calibri" w:hAnsi="Times New Roman" w:cs="Times New Roman"/>
          <w:sz w:val="24"/>
          <w:szCs w:val="24"/>
        </w:rPr>
        <w:t>mRNA</w:t>
      </w:r>
      <w:proofErr w:type="spellEnd"/>
      <w:r w:rsidRPr="009333D9">
        <w:rPr>
          <w:rFonts w:ascii="Times New Roman" w:eastAsia="Calibri" w:hAnsi="Times New Roman" w:cs="Times New Roman"/>
          <w:sz w:val="24"/>
          <w:szCs w:val="24"/>
        </w:rPr>
        <w:t xml:space="preserve"> dla CYP24A1.</w:t>
      </w:r>
      <w:r w:rsidRPr="009333D9">
        <w:rPr>
          <w:rFonts w:ascii="Times New Roman" w:eastAsia="Calibri" w:hAnsi="Times New Roman" w:cs="Times New Roman"/>
          <w:sz w:val="24"/>
        </w:rPr>
        <w:t xml:space="preserve"> Chociaż stwierdzono, że analog PRI-1907</w:t>
      </w:r>
      <w:r w:rsidRPr="009333D9">
        <w:rPr>
          <w:rFonts w:ascii="Times New Roman" w:eastAsia="Calibri" w:hAnsi="Times New Roman" w:cs="Times New Roman"/>
          <w:color w:val="000000"/>
          <w:sz w:val="24"/>
          <w:szCs w:val="24"/>
        </w:rPr>
        <w:t xml:space="preserve"> </w:t>
      </w:r>
      <w:r w:rsidRPr="009333D9">
        <w:rPr>
          <w:rFonts w:ascii="Times New Roman" w:eastAsia="Calibri" w:hAnsi="Times New Roman" w:cs="Times New Roman"/>
          <w:sz w:val="24"/>
          <w:szCs w:val="24"/>
        </w:rPr>
        <w:t xml:space="preserve">wykazuje najwyższą aktywność do indukcji różnicowania i w komórkach HL60 powoduje najsłabszą indukcję syntezy </w:t>
      </w:r>
      <w:proofErr w:type="spellStart"/>
      <w:r w:rsidRPr="009333D9">
        <w:rPr>
          <w:rFonts w:ascii="Times New Roman" w:eastAsia="Calibri" w:hAnsi="Times New Roman" w:cs="Times New Roman"/>
          <w:sz w:val="24"/>
          <w:szCs w:val="24"/>
        </w:rPr>
        <w:t>mRNA</w:t>
      </w:r>
      <w:proofErr w:type="spellEnd"/>
      <w:r w:rsidRPr="009333D9">
        <w:rPr>
          <w:rFonts w:ascii="Times New Roman" w:eastAsia="Calibri" w:hAnsi="Times New Roman" w:cs="Times New Roman"/>
          <w:sz w:val="24"/>
          <w:szCs w:val="24"/>
        </w:rPr>
        <w:t xml:space="preserve"> dla CYP24A1, to nie potwierdzono tych obserwacji w innego typu komórkach.</w:t>
      </w:r>
      <w:r w:rsidRPr="009333D9">
        <w:rPr>
          <w:rFonts w:ascii="Times New Roman" w:eastAsia="Calibri" w:hAnsi="Times New Roman" w:cs="Times New Roman"/>
          <w:sz w:val="24"/>
        </w:rPr>
        <w:t xml:space="preserve"> Z tego względu za wysoką aktywność PRI-1907 nie jest odpowiedzialny odmienny katabolizm</w:t>
      </w:r>
      <w:r w:rsidRPr="009333D9">
        <w:rPr>
          <w:rFonts w:ascii="Times New Roman" w:eastAsia="Calibri" w:hAnsi="Times New Roman" w:cs="Times New Roman"/>
          <w:sz w:val="24"/>
          <w:szCs w:val="24"/>
        </w:rPr>
        <w:t xml:space="preserve">, ale innego typu mechanizm. Próby wzmocnienia różnicowania poprzez zastosowanie specyficznego inhibitora CYP24A1 </w:t>
      </w:r>
      <w:r w:rsidRPr="009333D9">
        <w:rPr>
          <w:rFonts w:ascii="Times New Roman" w:eastAsia="Calibri" w:hAnsi="Times New Roman" w:cs="Times New Roman"/>
          <w:sz w:val="24"/>
        </w:rPr>
        <w:t xml:space="preserve">– CTA09 </w:t>
      </w:r>
      <w:r w:rsidRPr="009333D9">
        <w:rPr>
          <w:rFonts w:ascii="Times New Roman" w:eastAsia="Calibri" w:hAnsi="Times New Roman" w:cs="Times New Roman"/>
          <w:sz w:val="24"/>
          <w:szCs w:val="24"/>
        </w:rPr>
        <w:t xml:space="preserve">oraz inhibitorów niespecyficznych nie przyniosły jednak znacznego wzrostu </w:t>
      </w:r>
      <w:r w:rsidRPr="009333D9">
        <w:rPr>
          <w:rFonts w:ascii="Times New Roman" w:eastAsia="Calibri" w:hAnsi="Times New Roman" w:cs="Times New Roman"/>
          <w:sz w:val="24"/>
        </w:rPr>
        <w:t>odsetka komórek CD11b lub CD14 pozytywnych.</w:t>
      </w:r>
    </w:p>
    <w:p w:rsidR="009333D9" w:rsidRPr="009333D9" w:rsidRDefault="009333D9" w:rsidP="009333D9">
      <w:pPr>
        <w:spacing w:after="0" w:line="360" w:lineRule="auto"/>
        <w:ind w:firstLine="567"/>
        <w:jc w:val="both"/>
        <w:rPr>
          <w:rFonts w:ascii="Times New Roman" w:eastAsia="Calibri" w:hAnsi="Times New Roman" w:cs="Times New Roman"/>
          <w:sz w:val="24"/>
        </w:rPr>
      </w:pPr>
      <w:r w:rsidRPr="009333D9">
        <w:rPr>
          <w:rFonts w:ascii="Times New Roman" w:eastAsia="Calibri" w:hAnsi="Times New Roman" w:cs="Times New Roman"/>
          <w:color w:val="000000"/>
          <w:sz w:val="24"/>
          <w:szCs w:val="24"/>
        </w:rPr>
        <w:t xml:space="preserve">Dodatkowo </w:t>
      </w:r>
      <w:r w:rsidRPr="009333D9">
        <w:rPr>
          <w:rFonts w:ascii="Times New Roman" w:eastAsia="Calibri" w:hAnsi="Times New Roman" w:cs="Times New Roman"/>
          <w:sz w:val="24"/>
        </w:rPr>
        <w:t xml:space="preserve">uzyskano wyniki świadczące, że istnieje korelacja pomiędzy indukcją ekspresji VDR i zwiększoną ekspresją czynników C/EBPβ w kompartymencie jądrowym </w:t>
      </w:r>
      <w:r w:rsidRPr="009333D9">
        <w:rPr>
          <w:rFonts w:ascii="Times New Roman" w:eastAsia="Calibri" w:hAnsi="Times New Roman" w:cs="Times New Roman"/>
          <w:sz w:val="24"/>
        </w:rPr>
        <w:br/>
        <w:t xml:space="preserve">a zdolnością analogów do różnicowania komórek w kierunku </w:t>
      </w:r>
      <w:proofErr w:type="spellStart"/>
      <w:r w:rsidRPr="009333D9">
        <w:rPr>
          <w:rFonts w:ascii="Times New Roman" w:eastAsia="Calibri" w:hAnsi="Times New Roman" w:cs="Times New Roman"/>
          <w:sz w:val="24"/>
        </w:rPr>
        <w:t>monocytarno</w:t>
      </w:r>
      <w:proofErr w:type="spellEnd"/>
      <w:r w:rsidRPr="009333D9">
        <w:rPr>
          <w:rFonts w:ascii="Times New Roman" w:eastAsia="Calibri" w:hAnsi="Times New Roman" w:cs="Times New Roman"/>
          <w:sz w:val="24"/>
        </w:rPr>
        <w:t xml:space="preserve"> – makrofagowym.</w:t>
      </w:r>
    </w:p>
    <w:p w:rsidR="009333D9" w:rsidRPr="009333D9" w:rsidRDefault="009333D9" w:rsidP="009333D9">
      <w:pPr>
        <w:spacing w:after="0" w:line="360" w:lineRule="auto"/>
        <w:ind w:firstLine="567"/>
        <w:jc w:val="both"/>
        <w:rPr>
          <w:rFonts w:ascii="Times New Roman" w:eastAsia="Calibri" w:hAnsi="Times New Roman" w:cs="Times New Roman"/>
          <w:sz w:val="24"/>
        </w:rPr>
      </w:pPr>
      <w:r w:rsidRPr="009333D9">
        <w:rPr>
          <w:rFonts w:ascii="Times New Roman" w:eastAsia="Calibri" w:hAnsi="Times New Roman" w:cs="Times New Roman"/>
          <w:sz w:val="24"/>
        </w:rPr>
        <w:t xml:space="preserve">Oznaczony polimorfizm </w:t>
      </w:r>
      <w:proofErr w:type="spellStart"/>
      <w:r w:rsidRPr="009333D9">
        <w:rPr>
          <w:rFonts w:ascii="Times New Roman" w:eastAsia="Calibri" w:hAnsi="Times New Roman" w:cs="Times New Roman"/>
          <w:sz w:val="24"/>
        </w:rPr>
        <w:t>FokI</w:t>
      </w:r>
      <w:proofErr w:type="spellEnd"/>
      <w:r w:rsidRPr="009333D9">
        <w:rPr>
          <w:rFonts w:ascii="Times New Roman" w:eastAsia="Calibri" w:hAnsi="Times New Roman" w:cs="Times New Roman"/>
          <w:sz w:val="24"/>
        </w:rPr>
        <w:t xml:space="preserve"> VDR w różnych liniach komórkowych oraz w komórkach izolowanych z krwi obwodowej pacjentów z </w:t>
      </w:r>
      <w:r w:rsidRPr="009333D9">
        <w:rPr>
          <w:rFonts w:ascii="Times New Roman" w:eastAsia="Calibri" w:hAnsi="Times New Roman" w:cs="Times New Roman"/>
          <w:sz w:val="24"/>
          <w:szCs w:val="24"/>
        </w:rPr>
        <w:t>AML</w:t>
      </w:r>
      <w:r w:rsidRPr="009333D9">
        <w:rPr>
          <w:rFonts w:ascii="Times New Roman" w:eastAsia="Calibri" w:hAnsi="Times New Roman" w:cs="Times New Roman"/>
          <w:sz w:val="24"/>
        </w:rPr>
        <w:t xml:space="preserve"> nie wyjaśnia ich podatności lub oporności na indukcję różnicowania pod wpływem związków pro-różnicujących.</w:t>
      </w:r>
    </w:p>
    <w:p w:rsidR="00410FC4" w:rsidRPr="009333D9" w:rsidRDefault="00410FC4" w:rsidP="009333D9">
      <w:pPr>
        <w:keepNext/>
        <w:keepLines/>
        <w:spacing w:before="480" w:after="0" w:line="360" w:lineRule="auto"/>
        <w:outlineLvl w:val="0"/>
      </w:pPr>
    </w:p>
    <w:sectPr w:rsidR="00410FC4" w:rsidRPr="009333D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A2C" w:rsidRDefault="00DF7A2C" w:rsidP="009333D9">
      <w:pPr>
        <w:spacing w:after="0" w:line="240" w:lineRule="auto"/>
      </w:pPr>
      <w:r>
        <w:separator/>
      </w:r>
    </w:p>
  </w:endnote>
  <w:endnote w:type="continuationSeparator" w:id="0">
    <w:p w:rsidR="00DF7A2C" w:rsidRDefault="00DF7A2C" w:rsidP="0093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822037"/>
      <w:docPartObj>
        <w:docPartGallery w:val="Page Numbers (Bottom of Page)"/>
        <w:docPartUnique/>
      </w:docPartObj>
    </w:sdtPr>
    <w:sdtEndPr>
      <w:rPr>
        <w:rFonts w:ascii="Times New Roman" w:hAnsi="Times New Roman" w:cs="Times New Roman"/>
      </w:rPr>
    </w:sdtEndPr>
    <w:sdtContent>
      <w:p w:rsidR="00A939AE" w:rsidRPr="00A939AE" w:rsidRDefault="00A939AE">
        <w:pPr>
          <w:pStyle w:val="Stopka"/>
          <w:jc w:val="center"/>
          <w:rPr>
            <w:rFonts w:ascii="Times New Roman" w:hAnsi="Times New Roman" w:cs="Times New Roman"/>
          </w:rPr>
        </w:pPr>
        <w:r w:rsidRPr="00A939AE">
          <w:rPr>
            <w:rFonts w:ascii="Times New Roman" w:hAnsi="Times New Roman" w:cs="Times New Roman"/>
          </w:rPr>
          <w:fldChar w:fldCharType="begin"/>
        </w:r>
        <w:r w:rsidRPr="00A939AE">
          <w:rPr>
            <w:rFonts w:ascii="Times New Roman" w:hAnsi="Times New Roman" w:cs="Times New Roman"/>
          </w:rPr>
          <w:instrText>PAGE   \* MERGEFORMAT</w:instrText>
        </w:r>
        <w:r w:rsidRPr="00A939AE">
          <w:rPr>
            <w:rFonts w:ascii="Times New Roman" w:hAnsi="Times New Roman" w:cs="Times New Roman"/>
          </w:rPr>
          <w:fldChar w:fldCharType="separate"/>
        </w:r>
        <w:r>
          <w:rPr>
            <w:rFonts w:ascii="Times New Roman" w:hAnsi="Times New Roman" w:cs="Times New Roman"/>
            <w:noProof/>
          </w:rPr>
          <w:t>2</w:t>
        </w:r>
        <w:r w:rsidRPr="00A939AE">
          <w:rPr>
            <w:rFonts w:ascii="Times New Roman" w:hAnsi="Times New Roman" w:cs="Times New Roman"/>
          </w:rPr>
          <w:fldChar w:fldCharType="end"/>
        </w:r>
      </w:p>
    </w:sdtContent>
  </w:sdt>
  <w:p w:rsidR="009333D9" w:rsidRDefault="009333D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A2C" w:rsidRDefault="00DF7A2C" w:rsidP="009333D9">
      <w:pPr>
        <w:spacing w:after="0" w:line="240" w:lineRule="auto"/>
      </w:pPr>
      <w:r>
        <w:separator/>
      </w:r>
    </w:p>
  </w:footnote>
  <w:footnote w:type="continuationSeparator" w:id="0">
    <w:p w:rsidR="00DF7A2C" w:rsidRDefault="00DF7A2C" w:rsidP="00933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C9C"/>
    <w:rsid w:val="00001D58"/>
    <w:rsid w:val="00002F92"/>
    <w:rsid w:val="00015D7E"/>
    <w:rsid w:val="00016E75"/>
    <w:rsid w:val="0002120A"/>
    <w:rsid w:val="00025286"/>
    <w:rsid w:val="00030ED4"/>
    <w:rsid w:val="00036BF4"/>
    <w:rsid w:val="00052375"/>
    <w:rsid w:val="00052376"/>
    <w:rsid w:val="00052646"/>
    <w:rsid w:val="00053A87"/>
    <w:rsid w:val="00054B29"/>
    <w:rsid w:val="0005634F"/>
    <w:rsid w:val="00056F2A"/>
    <w:rsid w:val="00063A1D"/>
    <w:rsid w:val="0006532E"/>
    <w:rsid w:val="00070918"/>
    <w:rsid w:val="00072EA0"/>
    <w:rsid w:val="00074835"/>
    <w:rsid w:val="00075BD6"/>
    <w:rsid w:val="00082B3F"/>
    <w:rsid w:val="00084ADD"/>
    <w:rsid w:val="00092A9E"/>
    <w:rsid w:val="000A1A27"/>
    <w:rsid w:val="000A4D0B"/>
    <w:rsid w:val="000A6435"/>
    <w:rsid w:val="000B7CEE"/>
    <w:rsid w:val="000C3EAA"/>
    <w:rsid w:val="000C553B"/>
    <w:rsid w:val="000D62ED"/>
    <w:rsid w:val="000D7689"/>
    <w:rsid w:val="000E1966"/>
    <w:rsid w:val="000F16F1"/>
    <w:rsid w:val="00101E58"/>
    <w:rsid w:val="001066B4"/>
    <w:rsid w:val="00106939"/>
    <w:rsid w:val="00110AF5"/>
    <w:rsid w:val="00110EAC"/>
    <w:rsid w:val="001142C4"/>
    <w:rsid w:val="00114863"/>
    <w:rsid w:val="001204F1"/>
    <w:rsid w:val="00120B98"/>
    <w:rsid w:val="00121AED"/>
    <w:rsid w:val="001251CE"/>
    <w:rsid w:val="00125C46"/>
    <w:rsid w:val="001316B9"/>
    <w:rsid w:val="00131CCA"/>
    <w:rsid w:val="00134B2B"/>
    <w:rsid w:val="001412D6"/>
    <w:rsid w:val="00141445"/>
    <w:rsid w:val="001437C0"/>
    <w:rsid w:val="00144738"/>
    <w:rsid w:val="00144B00"/>
    <w:rsid w:val="00144F01"/>
    <w:rsid w:val="00145A9D"/>
    <w:rsid w:val="00146253"/>
    <w:rsid w:val="001511F7"/>
    <w:rsid w:val="0015749D"/>
    <w:rsid w:val="00160CDD"/>
    <w:rsid w:val="0016231B"/>
    <w:rsid w:val="00171C25"/>
    <w:rsid w:val="00177DC5"/>
    <w:rsid w:val="00187484"/>
    <w:rsid w:val="00196B9E"/>
    <w:rsid w:val="001A057C"/>
    <w:rsid w:val="001A1994"/>
    <w:rsid w:val="001A377F"/>
    <w:rsid w:val="001A6ADA"/>
    <w:rsid w:val="001A791D"/>
    <w:rsid w:val="001B113A"/>
    <w:rsid w:val="001B2C9A"/>
    <w:rsid w:val="001C5AF4"/>
    <w:rsid w:val="001C6A55"/>
    <w:rsid w:val="001D2E8B"/>
    <w:rsid w:val="001D46D3"/>
    <w:rsid w:val="001D490A"/>
    <w:rsid w:val="001D5275"/>
    <w:rsid w:val="001E0B4D"/>
    <w:rsid w:val="001E1CD9"/>
    <w:rsid w:val="001E30B7"/>
    <w:rsid w:val="001E4D41"/>
    <w:rsid w:val="001E6D5D"/>
    <w:rsid w:val="001E6F48"/>
    <w:rsid w:val="001F2E01"/>
    <w:rsid w:val="001F3493"/>
    <w:rsid w:val="001F56DC"/>
    <w:rsid w:val="001F5D35"/>
    <w:rsid w:val="001F7A4E"/>
    <w:rsid w:val="00201D4B"/>
    <w:rsid w:val="002027D1"/>
    <w:rsid w:val="0020652B"/>
    <w:rsid w:val="002127F8"/>
    <w:rsid w:val="00213045"/>
    <w:rsid w:val="002147CD"/>
    <w:rsid w:val="00223710"/>
    <w:rsid w:val="00223C60"/>
    <w:rsid w:val="00230E02"/>
    <w:rsid w:val="00231C4D"/>
    <w:rsid w:val="00233B15"/>
    <w:rsid w:val="00233B4E"/>
    <w:rsid w:val="00233DA8"/>
    <w:rsid w:val="00237ADF"/>
    <w:rsid w:val="00240613"/>
    <w:rsid w:val="002447D3"/>
    <w:rsid w:val="002524A4"/>
    <w:rsid w:val="0025444E"/>
    <w:rsid w:val="00255213"/>
    <w:rsid w:val="00255524"/>
    <w:rsid w:val="002625A2"/>
    <w:rsid w:val="002657DC"/>
    <w:rsid w:val="002713FE"/>
    <w:rsid w:val="00272273"/>
    <w:rsid w:val="002734B2"/>
    <w:rsid w:val="00280EF2"/>
    <w:rsid w:val="00293FF3"/>
    <w:rsid w:val="0029635A"/>
    <w:rsid w:val="00296740"/>
    <w:rsid w:val="002A3544"/>
    <w:rsid w:val="002A7333"/>
    <w:rsid w:val="002A7CBA"/>
    <w:rsid w:val="002B1484"/>
    <w:rsid w:val="002B7286"/>
    <w:rsid w:val="002C573C"/>
    <w:rsid w:val="002C6B38"/>
    <w:rsid w:val="002E04E5"/>
    <w:rsid w:val="002E1676"/>
    <w:rsid w:val="002E1FC8"/>
    <w:rsid w:val="0030228F"/>
    <w:rsid w:val="0030430C"/>
    <w:rsid w:val="00312B0F"/>
    <w:rsid w:val="0032068F"/>
    <w:rsid w:val="00321B7B"/>
    <w:rsid w:val="003250DA"/>
    <w:rsid w:val="003254F7"/>
    <w:rsid w:val="00327978"/>
    <w:rsid w:val="00330EDC"/>
    <w:rsid w:val="00334B2F"/>
    <w:rsid w:val="003404B2"/>
    <w:rsid w:val="00342DC7"/>
    <w:rsid w:val="00343A78"/>
    <w:rsid w:val="00350142"/>
    <w:rsid w:val="00353026"/>
    <w:rsid w:val="00353A4E"/>
    <w:rsid w:val="00355E68"/>
    <w:rsid w:val="00356293"/>
    <w:rsid w:val="00356E09"/>
    <w:rsid w:val="00357B3E"/>
    <w:rsid w:val="00360E20"/>
    <w:rsid w:val="0036190C"/>
    <w:rsid w:val="0037054F"/>
    <w:rsid w:val="00370D69"/>
    <w:rsid w:val="003717CF"/>
    <w:rsid w:val="00373707"/>
    <w:rsid w:val="0037439A"/>
    <w:rsid w:val="00377F04"/>
    <w:rsid w:val="003811F2"/>
    <w:rsid w:val="00382703"/>
    <w:rsid w:val="003829B8"/>
    <w:rsid w:val="00385902"/>
    <w:rsid w:val="00386748"/>
    <w:rsid w:val="00386B62"/>
    <w:rsid w:val="0039446A"/>
    <w:rsid w:val="003946BB"/>
    <w:rsid w:val="00394CD8"/>
    <w:rsid w:val="00397137"/>
    <w:rsid w:val="003A77EF"/>
    <w:rsid w:val="003B4D43"/>
    <w:rsid w:val="003C2FE8"/>
    <w:rsid w:val="003D0404"/>
    <w:rsid w:val="003D18F5"/>
    <w:rsid w:val="003D1B28"/>
    <w:rsid w:val="003E3F6A"/>
    <w:rsid w:val="003E4132"/>
    <w:rsid w:val="003F39AC"/>
    <w:rsid w:val="003F5567"/>
    <w:rsid w:val="003F5607"/>
    <w:rsid w:val="003F6DD0"/>
    <w:rsid w:val="00406B8B"/>
    <w:rsid w:val="00407607"/>
    <w:rsid w:val="00407B31"/>
    <w:rsid w:val="00407BDA"/>
    <w:rsid w:val="00410018"/>
    <w:rsid w:val="00410FC4"/>
    <w:rsid w:val="004110EB"/>
    <w:rsid w:val="00422473"/>
    <w:rsid w:val="00422CAE"/>
    <w:rsid w:val="004248C8"/>
    <w:rsid w:val="00427EC3"/>
    <w:rsid w:val="00432585"/>
    <w:rsid w:val="004353CE"/>
    <w:rsid w:val="00435D94"/>
    <w:rsid w:val="00437EF7"/>
    <w:rsid w:val="00441052"/>
    <w:rsid w:val="0044258B"/>
    <w:rsid w:val="004446D3"/>
    <w:rsid w:val="00444B6A"/>
    <w:rsid w:val="00450256"/>
    <w:rsid w:val="0045165A"/>
    <w:rsid w:val="00451F53"/>
    <w:rsid w:val="00455417"/>
    <w:rsid w:val="00461FA5"/>
    <w:rsid w:val="00463697"/>
    <w:rsid w:val="00470746"/>
    <w:rsid w:val="00470F08"/>
    <w:rsid w:val="0047613D"/>
    <w:rsid w:val="004830B6"/>
    <w:rsid w:val="0049230B"/>
    <w:rsid w:val="00492FC1"/>
    <w:rsid w:val="0049344B"/>
    <w:rsid w:val="004946CB"/>
    <w:rsid w:val="00494ABC"/>
    <w:rsid w:val="004A1BAD"/>
    <w:rsid w:val="004A294B"/>
    <w:rsid w:val="004B1AC7"/>
    <w:rsid w:val="004B52CA"/>
    <w:rsid w:val="004C0C92"/>
    <w:rsid w:val="004C28D8"/>
    <w:rsid w:val="004C4C8F"/>
    <w:rsid w:val="004C62BC"/>
    <w:rsid w:val="004C7D2E"/>
    <w:rsid w:val="004D36E2"/>
    <w:rsid w:val="004D45E6"/>
    <w:rsid w:val="004E0282"/>
    <w:rsid w:val="004E29E0"/>
    <w:rsid w:val="004E2AB0"/>
    <w:rsid w:val="004E2C61"/>
    <w:rsid w:val="004F65E7"/>
    <w:rsid w:val="004F6B88"/>
    <w:rsid w:val="004F6E52"/>
    <w:rsid w:val="004F7968"/>
    <w:rsid w:val="0050092F"/>
    <w:rsid w:val="005021FB"/>
    <w:rsid w:val="0050307C"/>
    <w:rsid w:val="00503472"/>
    <w:rsid w:val="0051288B"/>
    <w:rsid w:val="00512BBA"/>
    <w:rsid w:val="00514CB7"/>
    <w:rsid w:val="00515876"/>
    <w:rsid w:val="0051597F"/>
    <w:rsid w:val="0052085D"/>
    <w:rsid w:val="00524595"/>
    <w:rsid w:val="00524B34"/>
    <w:rsid w:val="00525B61"/>
    <w:rsid w:val="00530468"/>
    <w:rsid w:val="005307D8"/>
    <w:rsid w:val="00532D8A"/>
    <w:rsid w:val="00534BBC"/>
    <w:rsid w:val="00536073"/>
    <w:rsid w:val="005416B0"/>
    <w:rsid w:val="0055220B"/>
    <w:rsid w:val="00552479"/>
    <w:rsid w:val="00561D88"/>
    <w:rsid w:val="005659A8"/>
    <w:rsid w:val="00570DFE"/>
    <w:rsid w:val="0057140E"/>
    <w:rsid w:val="00577A23"/>
    <w:rsid w:val="00581E7D"/>
    <w:rsid w:val="00585A1C"/>
    <w:rsid w:val="00587553"/>
    <w:rsid w:val="00587A8E"/>
    <w:rsid w:val="005908BA"/>
    <w:rsid w:val="00590C6B"/>
    <w:rsid w:val="00592F15"/>
    <w:rsid w:val="00594CF5"/>
    <w:rsid w:val="0059712C"/>
    <w:rsid w:val="005A38FA"/>
    <w:rsid w:val="005A4B82"/>
    <w:rsid w:val="005A53D3"/>
    <w:rsid w:val="005B0EF4"/>
    <w:rsid w:val="005B188A"/>
    <w:rsid w:val="005B206D"/>
    <w:rsid w:val="005B46A6"/>
    <w:rsid w:val="005B483D"/>
    <w:rsid w:val="005B4949"/>
    <w:rsid w:val="005C1A93"/>
    <w:rsid w:val="005C41BB"/>
    <w:rsid w:val="005C53DB"/>
    <w:rsid w:val="005C5B0C"/>
    <w:rsid w:val="005D30A3"/>
    <w:rsid w:val="005D7451"/>
    <w:rsid w:val="005E4AF5"/>
    <w:rsid w:val="005E4BB6"/>
    <w:rsid w:val="005E523F"/>
    <w:rsid w:val="005E6791"/>
    <w:rsid w:val="006108D6"/>
    <w:rsid w:val="00611C24"/>
    <w:rsid w:val="00614745"/>
    <w:rsid w:val="00614976"/>
    <w:rsid w:val="00624143"/>
    <w:rsid w:val="0063027F"/>
    <w:rsid w:val="006367F7"/>
    <w:rsid w:val="00636D46"/>
    <w:rsid w:val="00640D1B"/>
    <w:rsid w:val="00640EFD"/>
    <w:rsid w:val="00664348"/>
    <w:rsid w:val="00671A2E"/>
    <w:rsid w:val="006768D7"/>
    <w:rsid w:val="00676B9E"/>
    <w:rsid w:val="006807DB"/>
    <w:rsid w:val="00681816"/>
    <w:rsid w:val="00685F55"/>
    <w:rsid w:val="00690127"/>
    <w:rsid w:val="006A58BE"/>
    <w:rsid w:val="006A7312"/>
    <w:rsid w:val="006B215E"/>
    <w:rsid w:val="006B32BF"/>
    <w:rsid w:val="006C7AD7"/>
    <w:rsid w:val="006C7CF0"/>
    <w:rsid w:val="006D4D1F"/>
    <w:rsid w:val="006D6A93"/>
    <w:rsid w:val="006E08EA"/>
    <w:rsid w:val="006E2B44"/>
    <w:rsid w:val="006E7631"/>
    <w:rsid w:val="006F2A28"/>
    <w:rsid w:val="006F4182"/>
    <w:rsid w:val="006F72FB"/>
    <w:rsid w:val="007006DC"/>
    <w:rsid w:val="00702228"/>
    <w:rsid w:val="00704204"/>
    <w:rsid w:val="00715115"/>
    <w:rsid w:val="007157B0"/>
    <w:rsid w:val="007403CB"/>
    <w:rsid w:val="007475AB"/>
    <w:rsid w:val="0075595F"/>
    <w:rsid w:val="0075622B"/>
    <w:rsid w:val="00756EB8"/>
    <w:rsid w:val="0075703F"/>
    <w:rsid w:val="00761642"/>
    <w:rsid w:val="007672B4"/>
    <w:rsid w:val="00773A9E"/>
    <w:rsid w:val="00775F69"/>
    <w:rsid w:val="00780729"/>
    <w:rsid w:val="00781B7F"/>
    <w:rsid w:val="00787D0F"/>
    <w:rsid w:val="0079334D"/>
    <w:rsid w:val="00794D76"/>
    <w:rsid w:val="0079636A"/>
    <w:rsid w:val="00796632"/>
    <w:rsid w:val="00796EBB"/>
    <w:rsid w:val="007A4287"/>
    <w:rsid w:val="007A6DED"/>
    <w:rsid w:val="007B281D"/>
    <w:rsid w:val="007B6D08"/>
    <w:rsid w:val="007C45CF"/>
    <w:rsid w:val="007C5F1F"/>
    <w:rsid w:val="007D2A16"/>
    <w:rsid w:val="007D41E3"/>
    <w:rsid w:val="007D6528"/>
    <w:rsid w:val="007D6ED5"/>
    <w:rsid w:val="007D7068"/>
    <w:rsid w:val="007E01C8"/>
    <w:rsid w:val="007E0907"/>
    <w:rsid w:val="007E0BCB"/>
    <w:rsid w:val="007E0DEB"/>
    <w:rsid w:val="007E3AAD"/>
    <w:rsid w:val="007E65E1"/>
    <w:rsid w:val="007E7422"/>
    <w:rsid w:val="007F6B80"/>
    <w:rsid w:val="007F6ED9"/>
    <w:rsid w:val="007F7F49"/>
    <w:rsid w:val="00807796"/>
    <w:rsid w:val="00810655"/>
    <w:rsid w:val="008124C7"/>
    <w:rsid w:val="00813613"/>
    <w:rsid w:val="00813B50"/>
    <w:rsid w:val="00820114"/>
    <w:rsid w:val="00821AA2"/>
    <w:rsid w:val="00822D68"/>
    <w:rsid w:val="00824E42"/>
    <w:rsid w:val="008306ED"/>
    <w:rsid w:val="008334B2"/>
    <w:rsid w:val="00847510"/>
    <w:rsid w:val="008478CA"/>
    <w:rsid w:val="00850607"/>
    <w:rsid w:val="00853B2B"/>
    <w:rsid w:val="00853EEF"/>
    <w:rsid w:val="008622DD"/>
    <w:rsid w:val="0086265C"/>
    <w:rsid w:val="00864379"/>
    <w:rsid w:val="0086507B"/>
    <w:rsid w:val="00866CB4"/>
    <w:rsid w:val="00867D04"/>
    <w:rsid w:val="00870D60"/>
    <w:rsid w:val="00871765"/>
    <w:rsid w:val="00873C73"/>
    <w:rsid w:val="008767A1"/>
    <w:rsid w:val="00876C22"/>
    <w:rsid w:val="00886985"/>
    <w:rsid w:val="00896A6D"/>
    <w:rsid w:val="008A08E5"/>
    <w:rsid w:val="008A5918"/>
    <w:rsid w:val="008A665A"/>
    <w:rsid w:val="008B01B8"/>
    <w:rsid w:val="008B0FCD"/>
    <w:rsid w:val="008B1F78"/>
    <w:rsid w:val="008B3E60"/>
    <w:rsid w:val="008B4A63"/>
    <w:rsid w:val="008B58E0"/>
    <w:rsid w:val="008B6A69"/>
    <w:rsid w:val="008C3322"/>
    <w:rsid w:val="008C3D92"/>
    <w:rsid w:val="008D3674"/>
    <w:rsid w:val="008D3944"/>
    <w:rsid w:val="008D431B"/>
    <w:rsid w:val="008D758C"/>
    <w:rsid w:val="008E0442"/>
    <w:rsid w:val="008F01AA"/>
    <w:rsid w:val="008F3F42"/>
    <w:rsid w:val="008F45D4"/>
    <w:rsid w:val="00901FCE"/>
    <w:rsid w:val="009024F4"/>
    <w:rsid w:val="00907B10"/>
    <w:rsid w:val="00922CBB"/>
    <w:rsid w:val="00927395"/>
    <w:rsid w:val="00932B14"/>
    <w:rsid w:val="00932DB6"/>
    <w:rsid w:val="009332C4"/>
    <w:rsid w:val="009333D9"/>
    <w:rsid w:val="00935C4C"/>
    <w:rsid w:val="00937630"/>
    <w:rsid w:val="00937DCE"/>
    <w:rsid w:val="00942FFD"/>
    <w:rsid w:val="00946422"/>
    <w:rsid w:val="009519AC"/>
    <w:rsid w:val="009521D4"/>
    <w:rsid w:val="00952869"/>
    <w:rsid w:val="0095635A"/>
    <w:rsid w:val="0097618C"/>
    <w:rsid w:val="0097754E"/>
    <w:rsid w:val="00980CE0"/>
    <w:rsid w:val="00982A52"/>
    <w:rsid w:val="00987263"/>
    <w:rsid w:val="00993089"/>
    <w:rsid w:val="00993F07"/>
    <w:rsid w:val="009A4542"/>
    <w:rsid w:val="009A61A1"/>
    <w:rsid w:val="009A7EAA"/>
    <w:rsid w:val="009B3C12"/>
    <w:rsid w:val="009B6712"/>
    <w:rsid w:val="009C4D96"/>
    <w:rsid w:val="009C4E33"/>
    <w:rsid w:val="009D620C"/>
    <w:rsid w:val="009E0C91"/>
    <w:rsid w:val="009E0EAF"/>
    <w:rsid w:val="009E34AD"/>
    <w:rsid w:val="009F0E6B"/>
    <w:rsid w:val="009F3181"/>
    <w:rsid w:val="009F431D"/>
    <w:rsid w:val="00A00FD3"/>
    <w:rsid w:val="00A041F9"/>
    <w:rsid w:val="00A05E5D"/>
    <w:rsid w:val="00A068EC"/>
    <w:rsid w:val="00A10D6D"/>
    <w:rsid w:val="00A13F02"/>
    <w:rsid w:val="00A158A8"/>
    <w:rsid w:val="00A217B2"/>
    <w:rsid w:val="00A217D7"/>
    <w:rsid w:val="00A25B16"/>
    <w:rsid w:val="00A26CA2"/>
    <w:rsid w:val="00A30248"/>
    <w:rsid w:val="00A333D0"/>
    <w:rsid w:val="00A34CFB"/>
    <w:rsid w:val="00A361FA"/>
    <w:rsid w:val="00A36E1B"/>
    <w:rsid w:val="00A416FC"/>
    <w:rsid w:val="00A452A4"/>
    <w:rsid w:val="00A52F77"/>
    <w:rsid w:val="00A5431E"/>
    <w:rsid w:val="00A63E51"/>
    <w:rsid w:val="00A64AA1"/>
    <w:rsid w:val="00A67331"/>
    <w:rsid w:val="00A732EC"/>
    <w:rsid w:val="00A74525"/>
    <w:rsid w:val="00A8082B"/>
    <w:rsid w:val="00A816FF"/>
    <w:rsid w:val="00A8189E"/>
    <w:rsid w:val="00A8209D"/>
    <w:rsid w:val="00A924C3"/>
    <w:rsid w:val="00A939AE"/>
    <w:rsid w:val="00A93C26"/>
    <w:rsid w:val="00A948E0"/>
    <w:rsid w:val="00A95333"/>
    <w:rsid w:val="00AA05AD"/>
    <w:rsid w:val="00AA1C89"/>
    <w:rsid w:val="00AA2596"/>
    <w:rsid w:val="00AA279B"/>
    <w:rsid w:val="00AB016A"/>
    <w:rsid w:val="00AB2E6F"/>
    <w:rsid w:val="00AB2F68"/>
    <w:rsid w:val="00AB70AB"/>
    <w:rsid w:val="00AC322C"/>
    <w:rsid w:val="00AD0A49"/>
    <w:rsid w:val="00AD154A"/>
    <w:rsid w:val="00AD19D5"/>
    <w:rsid w:val="00AD2580"/>
    <w:rsid w:val="00AD66D7"/>
    <w:rsid w:val="00AE0E7B"/>
    <w:rsid w:val="00AE1B4A"/>
    <w:rsid w:val="00AE2DE4"/>
    <w:rsid w:val="00AE39C2"/>
    <w:rsid w:val="00AE7DB2"/>
    <w:rsid w:val="00AF436A"/>
    <w:rsid w:val="00AF5B63"/>
    <w:rsid w:val="00B03A14"/>
    <w:rsid w:val="00B05D91"/>
    <w:rsid w:val="00B07BD3"/>
    <w:rsid w:val="00B102CA"/>
    <w:rsid w:val="00B1090C"/>
    <w:rsid w:val="00B13121"/>
    <w:rsid w:val="00B14F58"/>
    <w:rsid w:val="00B1598E"/>
    <w:rsid w:val="00B1667E"/>
    <w:rsid w:val="00B22D78"/>
    <w:rsid w:val="00B2492C"/>
    <w:rsid w:val="00B24F05"/>
    <w:rsid w:val="00B27CE0"/>
    <w:rsid w:val="00B30802"/>
    <w:rsid w:val="00B310EF"/>
    <w:rsid w:val="00B3182F"/>
    <w:rsid w:val="00B37A8A"/>
    <w:rsid w:val="00B37F44"/>
    <w:rsid w:val="00B42B33"/>
    <w:rsid w:val="00B431FC"/>
    <w:rsid w:val="00B44948"/>
    <w:rsid w:val="00B45583"/>
    <w:rsid w:val="00B50CF0"/>
    <w:rsid w:val="00B607F9"/>
    <w:rsid w:val="00B61540"/>
    <w:rsid w:val="00B6326B"/>
    <w:rsid w:val="00B6371E"/>
    <w:rsid w:val="00B66D1B"/>
    <w:rsid w:val="00B728C5"/>
    <w:rsid w:val="00B814B2"/>
    <w:rsid w:val="00B8308F"/>
    <w:rsid w:val="00B84468"/>
    <w:rsid w:val="00B84F5C"/>
    <w:rsid w:val="00B85E85"/>
    <w:rsid w:val="00B910B8"/>
    <w:rsid w:val="00B951DC"/>
    <w:rsid w:val="00BB0EED"/>
    <w:rsid w:val="00BB387F"/>
    <w:rsid w:val="00BB4887"/>
    <w:rsid w:val="00BB58A7"/>
    <w:rsid w:val="00BB5B19"/>
    <w:rsid w:val="00BB5BE4"/>
    <w:rsid w:val="00BC0BC2"/>
    <w:rsid w:val="00BC4C7E"/>
    <w:rsid w:val="00BC4F7C"/>
    <w:rsid w:val="00BC5B8F"/>
    <w:rsid w:val="00BC761D"/>
    <w:rsid w:val="00BD2155"/>
    <w:rsid w:val="00BD3C9C"/>
    <w:rsid w:val="00BD7BD6"/>
    <w:rsid w:val="00BE50A5"/>
    <w:rsid w:val="00BE741A"/>
    <w:rsid w:val="00BF4210"/>
    <w:rsid w:val="00BF6803"/>
    <w:rsid w:val="00BF6D32"/>
    <w:rsid w:val="00C03946"/>
    <w:rsid w:val="00C051FD"/>
    <w:rsid w:val="00C1060D"/>
    <w:rsid w:val="00C11E66"/>
    <w:rsid w:val="00C1370D"/>
    <w:rsid w:val="00C14969"/>
    <w:rsid w:val="00C160CF"/>
    <w:rsid w:val="00C24B20"/>
    <w:rsid w:val="00C2590B"/>
    <w:rsid w:val="00C27CBE"/>
    <w:rsid w:val="00C37A3D"/>
    <w:rsid w:val="00C45A20"/>
    <w:rsid w:val="00C51A9E"/>
    <w:rsid w:val="00C71F12"/>
    <w:rsid w:val="00C73773"/>
    <w:rsid w:val="00C75140"/>
    <w:rsid w:val="00C75725"/>
    <w:rsid w:val="00C768B8"/>
    <w:rsid w:val="00C816DC"/>
    <w:rsid w:val="00C833A4"/>
    <w:rsid w:val="00C8416B"/>
    <w:rsid w:val="00C848B1"/>
    <w:rsid w:val="00C85487"/>
    <w:rsid w:val="00C86AC9"/>
    <w:rsid w:val="00C871D9"/>
    <w:rsid w:val="00CA10DF"/>
    <w:rsid w:val="00CA1717"/>
    <w:rsid w:val="00CA1F22"/>
    <w:rsid w:val="00CA23B2"/>
    <w:rsid w:val="00CA38DE"/>
    <w:rsid w:val="00CA4732"/>
    <w:rsid w:val="00CA5C7B"/>
    <w:rsid w:val="00CA7234"/>
    <w:rsid w:val="00CB0067"/>
    <w:rsid w:val="00CB0A62"/>
    <w:rsid w:val="00CB2C52"/>
    <w:rsid w:val="00CB7021"/>
    <w:rsid w:val="00CC2C99"/>
    <w:rsid w:val="00CC3419"/>
    <w:rsid w:val="00CC5D88"/>
    <w:rsid w:val="00CD4F53"/>
    <w:rsid w:val="00CE40A4"/>
    <w:rsid w:val="00CE56F8"/>
    <w:rsid w:val="00CF3218"/>
    <w:rsid w:val="00CF323B"/>
    <w:rsid w:val="00CF4A7D"/>
    <w:rsid w:val="00CF57C6"/>
    <w:rsid w:val="00CF5EBE"/>
    <w:rsid w:val="00D0044A"/>
    <w:rsid w:val="00D016F5"/>
    <w:rsid w:val="00D03BBD"/>
    <w:rsid w:val="00D04744"/>
    <w:rsid w:val="00D0742A"/>
    <w:rsid w:val="00D236AD"/>
    <w:rsid w:val="00D270FC"/>
    <w:rsid w:val="00D31215"/>
    <w:rsid w:val="00D355C7"/>
    <w:rsid w:val="00D35F5C"/>
    <w:rsid w:val="00D361FF"/>
    <w:rsid w:val="00D367F4"/>
    <w:rsid w:val="00D36993"/>
    <w:rsid w:val="00D43B08"/>
    <w:rsid w:val="00D457E5"/>
    <w:rsid w:val="00D53071"/>
    <w:rsid w:val="00D54EE6"/>
    <w:rsid w:val="00D64579"/>
    <w:rsid w:val="00D748E0"/>
    <w:rsid w:val="00D77C8F"/>
    <w:rsid w:val="00D8008E"/>
    <w:rsid w:val="00D808C3"/>
    <w:rsid w:val="00D9204A"/>
    <w:rsid w:val="00DA1CDB"/>
    <w:rsid w:val="00DA51B5"/>
    <w:rsid w:val="00DB2B9A"/>
    <w:rsid w:val="00DC3CDC"/>
    <w:rsid w:val="00DD1C4A"/>
    <w:rsid w:val="00DD2B73"/>
    <w:rsid w:val="00DD5958"/>
    <w:rsid w:val="00DD5EEE"/>
    <w:rsid w:val="00DE28A3"/>
    <w:rsid w:val="00DE2BAA"/>
    <w:rsid w:val="00DE42E8"/>
    <w:rsid w:val="00DE4E6C"/>
    <w:rsid w:val="00DE624E"/>
    <w:rsid w:val="00DE6C11"/>
    <w:rsid w:val="00DE7F5C"/>
    <w:rsid w:val="00DF5B9A"/>
    <w:rsid w:val="00DF70B0"/>
    <w:rsid w:val="00DF7820"/>
    <w:rsid w:val="00DF7A2C"/>
    <w:rsid w:val="00E0185A"/>
    <w:rsid w:val="00E0261A"/>
    <w:rsid w:val="00E061C6"/>
    <w:rsid w:val="00E06258"/>
    <w:rsid w:val="00E12DD9"/>
    <w:rsid w:val="00E1457E"/>
    <w:rsid w:val="00E17CEF"/>
    <w:rsid w:val="00E26891"/>
    <w:rsid w:val="00E30A0F"/>
    <w:rsid w:val="00E32F28"/>
    <w:rsid w:val="00E354EE"/>
    <w:rsid w:val="00E370C6"/>
    <w:rsid w:val="00E444E5"/>
    <w:rsid w:val="00E57D60"/>
    <w:rsid w:val="00E65F5D"/>
    <w:rsid w:val="00E65FDE"/>
    <w:rsid w:val="00E7694A"/>
    <w:rsid w:val="00E8102A"/>
    <w:rsid w:val="00E81CC1"/>
    <w:rsid w:val="00E82073"/>
    <w:rsid w:val="00E82CB2"/>
    <w:rsid w:val="00E854BC"/>
    <w:rsid w:val="00E918FB"/>
    <w:rsid w:val="00E9240B"/>
    <w:rsid w:val="00E93221"/>
    <w:rsid w:val="00E94A84"/>
    <w:rsid w:val="00E966FB"/>
    <w:rsid w:val="00EA37D0"/>
    <w:rsid w:val="00EB33BC"/>
    <w:rsid w:val="00EB3FEC"/>
    <w:rsid w:val="00EB401E"/>
    <w:rsid w:val="00EC3784"/>
    <w:rsid w:val="00EC58F7"/>
    <w:rsid w:val="00EC6556"/>
    <w:rsid w:val="00EC7AF2"/>
    <w:rsid w:val="00ED0D60"/>
    <w:rsid w:val="00ED76E5"/>
    <w:rsid w:val="00ED776B"/>
    <w:rsid w:val="00EE0D28"/>
    <w:rsid w:val="00EE5D43"/>
    <w:rsid w:val="00EE76FC"/>
    <w:rsid w:val="00EF289D"/>
    <w:rsid w:val="00EF2E3D"/>
    <w:rsid w:val="00F00F7B"/>
    <w:rsid w:val="00F01515"/>
    <w:rsid w:val="00F05AB4"/>
    <w:rsid w:val="00F11D48"/>
    <w:rsid w:val="00F1225B"/>
    <w:rsid w:val="00F20CBE"/>
    <w:rsid w:val="00F21BD3"/>
    <w:rsid w:val="00F22DF5"/>
    <w:rsid w:val="00F25E15"/>
    <w:rsid w:val="00F30018"/>
    <w:rsid w:val="00F311F7"/>
    <w:rsid w:val="00F3671D"/>
    <w:rsid w:val="00F40F27"/>
    <w:rsid w:val="00F44553"/>
    <w:rsid w:val="00F46B7F"/>
    <w:rsid w:val="00F530E5"/>
    <w:rsid w:val="00F537D7"/>
    <w:rsid w:val="00F54D67"/>
    <w:rsid w:val="00F60636"/>
    <w:rsid w:val="00F676AD"/>
    <w:rsid w:val="00F712FA"/>
    <w:rsid w:val="00F74FB8"/>
    <w:rsid w:val="00F82BAA"/>
    <w:rsid w:val="00F82FA5"/>
    <w:rsid w:val="00F830E7"/>
    <w:rsid w:val="00F84C97"/>
    <w:rsid w:val="00F84EF2"/>
    <w:rsid w:val="00F85691"/>
    <w:rsid w:val="00F92BB7"/>
    <w:rsid w:val="00F9343C"/>
    <w:rsid w:val="00F97044"/>
    <w:rsid w:val="00FA3055"/>
    <w:rsid w:val="00FA3FEA"/>
    <w:rsid w:val="00FA52B0"/>
    <w:rsid w:val="00FB0514"/>
    <w:rsid w:val="00FB0F28"/>
    <w:rsid w:val="00FB17E6"/>
    <w:rsid w:val="00FC0FD5"/>
    <w:rsid w:val="00FC3491"/>
    <w:rsid w:val="00FC3939"/>
    <w:rsid w:val="00FC3982"/>
    <w:rsid w:val="00FD61DF"/>
    <w:rsid w:val="00FE12CF"/>
    <w:rsid w:val="00FE4DCA"/>
    <w:rsid w:val="00FF0A92"/>
    <w:rsid w:val="00FF17A0"/>
    <w:rsid w:val="00FF32BA"/>
    <w:rsid w:val="00FF41AC"/>
    <w:rsid w:val="00FF608B"/>
    <w:rsid w:val="00FF72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333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33D9"/>
  </w:style>
  <w:style w:type="paragraph" w:styleId="Stopka">
    <w:name w:val="footer"/>
    <w:basedOn w:val="Normalny"/>
    <w:link w:val="StopkaZnak"/>
    <w:uiPriority w:val="99"/>
    <w:unhideWhenUsed/>
    <w:rsid w:val="009333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33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333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33D9"/>
  </w:style>
  <w:style w:type="paragraph" w:styleId="Stopka">
    <w:name w:val="footer"/>
    <w:basedOn w:val="Normalny"/>
    <w:link w:val="StopkaZnak"/>
    <w:uiPriority w:val="99"/>
    <w:unhideWhenUsed/>
    <w:rsid w:val="009333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3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61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3850</Characters>
  <Application>Microsoft Office Word</Application>
  <DocSecurity>0</DocSecurity>
  <Lines>32</Lines>
  <Paragraphs>8</Paragraphs>
  <ScaleCrop>false</ScaleCrop>
  <Company>HP</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3</cp:revision>
  <dcterms:created xsi:type="dcterms:W3CDTF">2014-04-14T10:36:00Z</dcterms:created>
  <dcterms:modified xsi:type="dcterms:W3CDTF">2014-04-14T20:59:00Z</dcterms:modified>
</cp:coreProperties>
</file>